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14" w:rsidRPr="00CA4E1C" w:rsidRDefault="00CA4E1C">
      <w:pPr>
        <w:ind w:left="1" w:hanging="3"/>
        <w:jc w:val="right"/>
        <w:rPr>
          <w:rFonts w:ascii="Helvetica Neue Light" w:eastAsia="Helvetica Neue Light" w:hAnsi="Helvetica Neue Light" w:cs="Helvetica Neue Light"/>
          <w:color w:val="2F5496"/>
          <w:sz w:val="32"/>
          <w:szCs w:val="32"/>
          <w:lang w:val="ro-RO"/>
        </w:rPr>
      </w:pPr>
      <w:r w:rsidRPr="00CA4E1C">
        <w:rPr>
          <w:rFonts w:ascii="Helvetica Neue Light" w:eastAsia="Helvetica Neue Light" w:hAnsi="Helvetica Neue Light" w:cs="Helvetica Neue Light"/>
          <w:color w:val="2F5496"/>
          <w:sz w:val="32"/>
          <w:szCs w:val="32"/>
          <w:lang w:val="ro-RO"/>
        </w:rPr>
        <w:t>H2.4</w:t>
      </w:r>
    </w:p>
    <w:p w:rsidR="00720414" w:rsidRPr="00CA4E1C" w:rsidRDefault="00720414">
      <w:pPr>
        <w:ind w:left="1" w:hanging="3"/>
        <w:rPr>
          <w:rFonts w:ascii="Helvetica Neue Light" w:eastAsia="Helvetica Neue Light" w:hAnsi="Helvetica Neue Light" w:cs="Helvetica Neue Light"/>
          <w:sz w:val="32"/>
          <w:szCs w:val="32"/>
          <w:lang w:val="ro-RO"/>
        </w:rPr>
      </w:pPr>
    </w:p>
    <w:p w:rsidR="00720414" w:rsidRPr="00CA4E1C" w:rsidRDefault="00CA4E1C">
      <w:pPr>
        <w:ind w:left="1" w:hanging="3"/>
        <w:rPr>
          <w:rFonts w:ascii="Helvetica Neue Light" w:eastAsia="Helvetica Neue Light" w:hAnsi="Helvetica Neue Light" w:cs="Helvetica Neue Light"/>
          <w:sz w:val="32"/>
          <w:szCs w:val="32"/>
          <w:lang w:val="ro-RO"/>
        </w:rPr>
      </w:pPr>
      <w:r w:rsidRPr="00CA4E1C">
        <w:rPr>
          <w:rFonts w:ascii="Helvetica Neue Light" w:eastAsia="Helvetica Neue Light" w:hAnsi="Helvetica Neue Light" w:cs="Helvetica Neue Light"/>
          <w:sz w:val="32"/>
          <w:szCs w:val="32"/>
          <w:lang w:val="ro-RO"/>
        </w:rPr>
        <w:t>Învățare structurată și planificată non-formală</w:t>
      </w:r>
    </w:p>
    <w:p w:rsidR="00720414" w:rsidRPr="00CA4E1C" w:rsidRDefault="00720414">
      <w:pPr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720414">
      <w:pPr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Obiectivele sunt: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 w:rsidP="00CA4E1C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să sporească rezultatele școlare</w:t>
      </w:r>
    </w:p>
    <w:p w:rsidR="00720414" w:rsidRPr="00CA4E1C" w:rsidRDefault="00CA4E1C" w:rsidP="00CA4E1C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promovarea unei abordări incluzive</w:t>
      </w:r>
    </w:p>
    <w:p w:rsidR="00720414" w:rsidRPr="00CA4E1C" w:rsidRDefault="00CA4E1C" w:rsidP="00CA4E1C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îmbunătățirea capacității de inserție profesională, a încrederii în sine și a motivației</w:t>
      </w:r>
    </w:p>
    <w:p w:rsidR="00720414" w:rsidRPr="00CA4E1C" w:rsidRDefault="00CA4E1C" w:rsidP="00CA4E1C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să ofere o serie de oportunități de învățare într-un cadru informal, necompetitiv</w:t>
      </w:r>
    </w:p>
    <w:p w:rsidR="00720414" w:rsidRPr="00CA4E1C" w:rsidRDefault="00CA4E1C" w:rsidP="00CA4E1C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să încurajeze cetățenia</w:t>
      </w:r>
    </w:p>
    <w:p w:rsidR="00720414" w:rsidRPr="00CA4E1C" w:rsidRDefault="00CA4E1C" w:rsidP="00CA4E1C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să ofere oportunități de a încerca noi modalități de învățare</w:t>
      </w:r>
    </w:p>
    <w:p w:rsidR="00720414" w:rsidRPr="00CA4E1C" w:rsidRDefault="00CA4E1C" w:rsidP="00CA4E1C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să promoveze entuziasmul și plăcerea de a învăța</w:t>
      </w:r>
    </w:p>
    <w:p w:rsidR="00720414" w:rsidRPr="00CA4E1C" w:rsidRDefault="00720414">
      <w:pPr>
        <w:spacing w:line="360" w:lineRule="auto"/>
        <w:ind w:left="0" w:hanging="2"/>
        <w:jc w:val="center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Deschis</w:t>
      </w:r>
      <w:r>
        <w:rPr>
          <w:rFonts w:ascii="Helvetica Neue" w:eastAsia="Helvetica Neue" w:hAnsi="Helvetica Neue" w:cs="Helvetica Neue"/>
          <w:sz w:val="22"/>
          <w:szCs w:val="22"/>
          <w:lang w:val="ro-RO"/>
        </w:rPr>
        <w:t>ă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 pentru toți</w:t>
      </w: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Tinerii participă 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în mod voluntar la activități de învățare non-formală. Activitățile de învățare non-formală în afara orelor de școală ar trebui să fie oferite tuturor tinerilor, deoarece toți tinerii care iau parte la acestea sunt în beneficiul lor. 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Printre aceștia se p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ot număra elevii din medii dezavantajate din punct de vedere social sau economic, 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care se confruntă cu discriminarea în societate (de exemplu, gen, handicap și rasă), elevii care riscă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 să devină dezangajați și care au atitudini negative față de învățare.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Scopul său este de a ajuta copiii care: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 w:rsidP="00CA4E1C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au oportunități limitate în afara școlii </w:t>
      </w:r>
    </w:p>
    <w:p w:rsidR="00720414" w:rsidRPr="00CA4E1C" w:rsidRDefault="00CA4E1C" w:rsidP="00CA4E1C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riscă să aibă rezultate slabe sau să nu lucreze la potențialul lor maxim</w:t>
      </w:r>
    </w:p>
    <w:p w:rsidR="00720414" w:rsidRPr="00CA4E1C" w:rsidRDefault="00CA4E1C" w:rsidP="00CA4E1C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provin din medii defavorizate </w:t>
      </w:r>
    </w:p>
    <w:p w:rsidR="00720414" w:rsidRPr="00CA4E1C" w:rsidRDefault="00CA4E1C" w:rsidP="00CA4E1C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întâmpină dificultăți de învățare prin metode tradiționale de predare</w:t>
      </w:r>
    </w:p>
    <w:p w:rsidR="00720414" w:rsidRPr="00CA4E1C" w:rsidRDefault="00CA4E1C" w:rsidP="00CA4E1C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beneficiază de un sprijin limitat pentru învățare din partea părinților/îngrijitorilor</w:t>
      </w:r>
    </w:p>
    <w:p w:rsidR="00720414" w:rsidRPr="00CA4E1C" w:rsidRDefault="00CA4E1C" w:rsidP="00CA4E1C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lastRenderedPageBreak/>
        <w:t>au cunoștințe limitate de limbă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Caracteristici distinctive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 w:rsidP="00CA4E1C">
      <w:pPr>
        <w:pStyle w:val="ListParagraph"/>
        <w:numPr>
          <w:ilvl w:val="0"/>
          <w:numId w:val="3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est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e deschis</w:t>
      </w:r>
      <w:r>
        <w:rPr>
          <w:rFonts w:ascii="Helvetica Neue" w:eastAsia="Helvetica Neue" w:hAnsi="Helvetica Neue" w:cs="Helvetica Neue"/>
          <w:sz w:val="22"/>
          <w:szCs w:val="22"/>
          <w:lang w:val="ro-RO"/>
        </w:rPr>
        <w:t>ă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 tuturor și se adresează celor care au cea mai mare nevoie de </w:t>
      </w:r>
      <w:r>
        <w:rPr>
          <w:rFonts w:ascii="Helvetica Neue" w:eastAsia="Helvetica Neue" w:hAnsi="Helvetica Neue" w:cs="Helvetica Neue"/>
          <w:sz w:val="22"/>
          <w:szCs w:val="22"/>
          <w:lang w:val="ro-RO"/>
        </w:rPr>
        <w:t>ea</w:t>
      </w:r>
    </w:p>
    <w:p w:rsidR="00720414" w:rsidRPr="00CA4E1C" w:rsidRDefault="00CA4E1C" w:rsidP="00CA4E1C">
      <w:pPr>
        <w:pStyle w:val="ListParagraph"/>
        <w:numPr>
          <w:ilvl w:val="0"/>
          <w:numId w:val="3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se </w:t>
      </w:r>
      <w:r>
        <w:rPr>
          <w:rFonts w:ascii="Helvetica Neue" w:eastAsia="Helvetica Neue" w:hAnsi="Helvetica Neue" w:cs="Helvetica Neue"/>
          <w:sz w:val="22"/>
          <w:szCs w:val="22"/>
          <w:lang w:val="ro-RO"/>
        </w:rPr>
        <w:t>realizează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 în afara orelor de curs, inclusiv în weekend și în zilele de sărbătoare </w:t>
      </w:r>
    </w:p>
    <w:p w:rsidR="00720414" w:rsidRPr="00CA4E1C" w:rsidRDefault="00CA4E1C" w:rsidP="00CA4E1C">
      <w:pPr>
        <w:pStyle w:val="ListParagraph"/>
        <w:numPr>
          <w:ilvl w:val="0"/>
          <w:numId w:val="3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este diferită de învățarea formală</w:t>
      </w:r>
    </w:p>
    <w:p w:rsidR="00720414" w:rsidRPr="00CA4E1C" w:rsidRDefault="00CA4E1C" w:rsidP="00CA4E1C">
      <w:pPr>
        <w:pStyle w:val="ListParagraph"/>
        <w:numPr>
          <w:ilvl w:val="0"/>
          <w:numId w:val="3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adaptabil</w:t>
      </w:r>
      <w:r>
        <w:rPr>
          <w:rFonts w:ascii="Helvetica Neue" w:eastAsia="Helvetica Neue" w:hAnsi="Helvetica Neue" w:cs="Helvetica Neue"/>
          <w:sz w:val="22"/>
          <w:szCs w:val="22"/>
          <w:lang w:val="ro-RO"/>
        </w:rPr>
        <w:t>ă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 la nevoile elevilor </w:t>
      </w:r>
    </w:p>
    <w:p w:rsidR="00720414" w:rsidRPr="00CA4E1C" w:rsidRDefault="00CA4E1C" w:rsidP="00CA4E1C">
      <w:pPr>
        <w:pStyle w:val="ListParagraph"/>
        <w:numPr>
          <w:ilvl w:val="0"/>
          <w:numId w:val="3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este conceput</w:t>
      </w:r>
      <w:r>
        <w:rPr>
          <w:rFonts w:ascii="Helvetica Neue" w:eastAsia="Helvetica Neue" w:hAnsi="Helvetica Neue" w:cs="Helvetica Neue"/>
          <w:sz w:val="22"/>
          <w:szCs w:val="22"/>
          <w:lang w:val="ro-RO"/>
        </w:rPr>
        <w:t>ă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 pentru a fi distr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activ</w:t>
      </w:r>
      <w:r>
        <w:rPr>
          <w:rFonts w:ascii="Helvetica Neue" w:eastAsia="Helvetica Neue" w:hAnsi="Helvetica Neue" w:cs="Helvetica Neue"/>
          <w:sz w:val="22"/>
          <w:szCs w:val="22"/>
          <w:lang w:val="ro-RO"/>
        </w:rPr>
        <w:t>ă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 și plăcut</w:t>
      </w:r>
      <w:r>
        <w:rPr>
          <w:rFonts w:ascii="Helvetica Neue" w:eastAsia="Helvetica Neue" w:hAnsi="Helvetica Neue" w:cs="Helvetica Neue"/>
          <w:sz w:val="22"/>
          <w:szCs w:val="22"/>
          <w:lang w:val="ro-RO"/>
        </w:rPr>
        <w:t>ă</w:t>
      </w:r>
    </w:p>
    <w:p w:rsidR="00720414" w:rsidRPr="00CA4E1C" w:rsidRDefault="00CA4E1C" w:rsidP="00CA4E1C">
      <w:pPr>
        <w:pStyle w:val="ListParagraph"/>
        <w:numPr>
          <w:ilvl w:val="0"/>
          <w:numId w:val="3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ajută la dezvoltarea de noi competențe </w:t>
      </w:r>
    </w:p>
    <w:p w:rsidR="00720414" w:rsidRPr="00CA4E1C" w:rsidRDefault="00CA4E1C" w:rsidP="00CA4E1C">
      <w:pPr>
        <w:pStyle w:val="ListParagraph"/>
        <w:numPr>
          <w:ilvl w:val="0"/>
          <w:numId w:val="3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oferă acces la o varietate de activități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Domenii principale  </w:t>
      </w: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 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abilitare: ajutor pentru dezvoltarea competențelor de bază și a celor esențiale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îmbogățire: oportunități de a învăța lucruri noi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extinderea: construirea pe baza învățării în clasă</w:t>
      </w:r>
    </w:p>
    <w:p w:rsidR="00720414" w:rsidRPr="00CA4E1C" w:rsidRDefault="00CA4E1C" w:rsidP="00CA4E1C">
      <w:pPr>
        <w:spacing w:line="360" w:lineRule="auto"/>
        <w:ind w:leftChars="0" w:left="358" w:firstLineChars="0" w:firstLine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Cum contribuie la creșterea performanțelor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experiențe noi și explorarea intereselor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identificarea talentelor și abilităților 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acces la mai multe resurse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descoperirea de noi modalități de a învăța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îmbunătățirea sănătății și a formei fizice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învățarea în ritmul propriu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îmbunătățirea abilităților sociale și a interacțiunii</w:t>
      </w:r>
    </w:p>
    <w:p w:rsidR="00720414" w:rsidRPr="00CA4E1C" w:rsidRDefault="00CA4E1C" w:rsidP="00CA4E1C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creșterea stimei de sine și a încrederii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1" w:hanging="3"/>
        <w:rPr>
          <w:rFonts w:ascii="Helvetica Neue" w:eastAsia="Helvetica Neue" w:hAnsi="Helvetica Neue" w:cs="Helvetica Neue"/>
          <w:sz w:val="28"/>
          <w:szCs w:val="28"/>
          <w:lang w:val="ro-RO"/>
        </w:rPr>
      </w:pPr>
      <w:r w:rsidRPr="00CA4E1C">
        <w:rPr>
          <w:rFonts w:ascii="Helvetica Neue" w:eastAsia="Helvetica Neue" w:hAnsi="Helvetica Neue" w:cs="Helvetica Neue"/>
          <w:sz w:val="28"/>
          <w:szCs w:val="28"/>
          <w:lang w:val="ro-RO"/>
        </w:rPr>
        <w:lastRenderedPageBreak/>
        <w:t>Cum diferă programul de învățare nonformală de activitățile extracurriculare tra</w:t>
      </w:r>
      <w:r w:rsidRPr="00CA4E1C">
        <w:rPr>
          <w:rFonts w:ascii="Helvetica Neue" w:eastAsia="Helvetica Neue" w:hAnsi="Helvetica Neue" w:cs="Helvetica Neue"/>
          <w:sz w:val="28"/>
          <w:szCs w:val="28"/>
          <w:lang w:val="ro-RO"/>
        </w:rPr>
        <w:t>diționale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Cea mai semnificativă diferență este scopul: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 w:rsidP="00CA4E1C">
      <w:pPr>
        <w:pStyle w:val="ListParagraph"/>
        <w:numPr>
          <w:ilvl w:val="0"/>
          <w:numId w:val="5"/>
        </w:numPr>
        <w:spacing w:line="360" w:lineRule="auto"/>
        <w:ind w:leftChars="0" w:firstLineChars="0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urmărește să sporească rezultatele, inclusiv rezultatele școlare, prin îmbunătățirea motivației și a încrederii în sin</w:t>
      </w:r>
      <w:bookmarkStart w:id="0" w:name="_GoBack"/>
      <w:bookmarkEnd w:id="0"/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 xml:space="preserve">e a tinerilor și prin consolidarea stimei de sine a acestora. </w:t>
      </w:r>
    </w:p>
    <w:p w:rsidR="00720414" w:rsidRPr="00CA4E1C" w:rsidRDefault="00720414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</w:p>
    <w:p w:rsidR="00720414" w:rsidRPr="00CA4E1C" w:rsidRDefault="00CA4E1C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ro-RO"/>
        </w:rPr>
      </w:pP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Proiectele extra</w:t>
      </w:r>
      <w:r w:rsidRPr="00CA4E1C">
        <w:rPr>
          <w:rFonts w:ascii="Helvetica Neue" w:eastAsia="Helvetica Neue" w:hAnsi="Helvetica Neue" w:cs="Helvetica Neue"/>
          <w:sz w:val="22"/>
          <w:szCs w:val="22"/>
          <w:lang w:val="ro-RO"/>
        </w:rPr>
        <w:t>-curriculare tradiționale tind să se concentreze pe îmbunătățirea rezultatelor academice, iar beneficiarii tind să fie tineri care sunt deja motivați.</w:t>
      </w:r>
    </w:p>
    <w:sectPr w:rsidR="00720414" w:rsidRPr="00CA4E1C">
      <w:pgSz w:w="11906" w:h="16838"/>
      <w:pgMar w:top="1440" w:right="1701" w:bottom="136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396"/>
    <w:multiLevelType w:val="hybridMultilevel"/>
    <w:tmpl w:val="ED22ECA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F6A3F9A"/>
    <w:multiLevelType w:val="hybridMultilevel"/>
    <w:tmpl w:val="8F0E756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25110E6"/>
    <w:multiLevelType w:val="hybridMultilevel"/>
    <w:tmpl w:val="E8D279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90A69B3"/>
    <w:multiLevelType w:val="hybridMultilevel"/>
    <w:tmpl w:val="7D386E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CF1624D"/>
    <w:multiLevelType w:val="hybridMultilevel"/>
    <w:tmpl w:val="F9BC361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14"/>
    <w:rsid w:val="00720414"/>
    <w:rsid w:val="00C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F42D7-6378-4876-B7D1-05B92B3F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g1LsoyjLPFkMaRM9HERIAg4EA==">AMUW2mVpvk8M0eCu78x45AIa8n1GbLDsOxgtNl3MRFmgrDk8eQqr5NYhPp7bd1nRjmxNR0SanX3zma96VTvk4UBn95rViu7Jw6ujyYbjpM3bYyK5wU0e02g=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nvaithi</dc:creator>
  <cp:keywords>, docId:516682704432AAC60C78E1F688510D99</cp:keywords>
  <cp:lastModifiedBy>Mihaela</cp:lastModifiedBy>
  <cp:revision>2</cp:revision>
  <dcterms:created xsi:type="dcterms:W3CDTF">2022-09-24T13:02:00Z</dcterms:created>
  <dcterms:modified xsi:type="dcterms:W3CDTF">2022-10-15T17:06:00Z</dcterms:modified>
</cp:coreProperties>
</file>